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9C2EBE" w:rsidP="008529A6">
      <w:pPr>
        <w:spacing w:line="240" w:lineRule="auto"/>
        <w:rPr>
          <w:rFonts w:ascii="Trebuchet MS" w:hAnsi="Trebuchet MS"/>
          <w:sz w:val="52"/>
          <w:szCs w:val="52"/>
        </w:rPr>
      </w:pPr>
      <w:r>
        <w:rPr>
          <w:rFonts w:ascii="Trebuchet MS" w:hAnsi="Trebuchet MS"/>
          <w:sz w:val="52"/>
          <w:szCs w:val="52"/>
        </w:rPr>
        <w:t xml:space="preserve">#3 </w:t>
      </w:r>
      <w:bookmarkStart w:id="0" w:name="_GoBack"/>
      <w:bookmarkEnd w:id="0"/>
      <w:r w:rsidR="00FA3850">
        <w:rPr>
          <w:rFonts w:ascii="Trebuchet MS" w:hAnsi="Trebuchet MS"/>
          <w:sz w:val="52"/>
          <w:szCs w:val="52"/>
        </w:rPr>
        <w:t>Words of the Week: High and Mighty</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2F44B5" w:rsidP="001A0B10">
            <w:pPr>
              <w:pStyle w:val="ListParagraph"/>
              <w:numPr>
                <w:ilvl w:val="0"/>
                <w:numId w:val="1"/>
              </w:numPr>
              <w:spacing w:line="360" w:lineRule="auto"/>
              <w:rPr>
                <w:rFonts w:ascii="Trebuchet MS" w:hAnsi="Trebuchet MS"/>
              </w:rPr>
            </w:pPr>
            <w:r>
              <w:rPr>
                <w:rFonts w:ascii="Trebuchet MS" w:hAnsi="Trebuchet MS"/>
              </w:rPr>
              <w:t>His arrogant attitude made it hard for others to warm up to him.</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Although Lisa is very proud of all her talent, she isn’t a braggart.</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Carole could get an A in math, but she’s too complacent to work for it.</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Parents should teach tolerance, not breed contempt for people’s differences.</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The audience showed its disdain by heckling the singer who couldn’t carry a tune.</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Nathan is so egotistical; he thinks every girl on campus wants to meet him.</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The folks next door are too haughty for a Ford; they drive only Mercedes and BMWs.</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When Ernie told the principal to “bug off,” his insolence earned him a suspension from school.</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Feeling good about yourself is healthy, but when self-esteem turns to narcissism, you’ve got a problem.</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Presumptuous people would be better off with a bit of self-control and tact.</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Isn’t pretension often a mask for self-doubt?</w:t>
            </w:r>
          </w:p>
          <w:p w:rsidR="002F44B5" w:rsidRDefault="002F44B5" w:rsidP="001A0B10">
            <w:pPr>
              <w:pStyle w:val="ListParagraph"/>
              <w:numPr>
                <w:ilvl w:val="0"/>
                <w:numId w:val="1"/>
              </w:numPr>
              <w:spacing w:line="360" w:lineRule="auto"/>
              <w:rPr>
                <w:rFonts w:ascii="Trebuchet MS" w:hAnsi="Trebuchet MS"/>
              </w:rPr>
            </w:pPr>
            <w:r>
              <w:rPr>
                <w:rFonts w:ascii="Trebuchet MS" w:hAnsi="Trebuchet MS"/>
              </w:rPr>
              <w:t>Everyone needs to work together; people with a supercilious attitude should not participate.</w:t>
            </w:r>
          </w:p>
          <w:p w:rsidR="002F44B5" w:rsidRPr="001A0B10" w:rsidRDefault="002F44B5" w:rsidP="001A0B10">
            <w:pPr>
              <w:pStyle w:val="ListParagraph"/>
              <w:numPr>
                <w:ilvl w:val="0"/>
                <w:numId w:val="1"/>
              </w:numPr>
              <w:spacing w:line="360" w:lineRule="auto"/>
              <w:rPr>
                <w:rFonts w:ascii="Trebuchet MS" w:hAnsi="Trebuchet MS"/>
              </w:rPr>
            </w:pPr>
            <w:r>
              <w:rPr>
                <w:rFonts w:ascii="Trebuchet MS" w:hAnsi="Trebuchet MS"/>
              </w:rPr>
              <w:t>Butch’s swagger reveals an ego as big as a house.</w:t>
            </w:r>
          </w:p>
        </w:tc>
      </w:tr>
    </w:tbl>
    <w:tbl>
      <w:tblPr>
        <w:tblStyle w:val="TableGrid"/>
        <w:tblpPr w:leftFromText="180" w:rightFromText="180" w:vertAnchor="text" w:horzAnchor="margin" w:tblpY="312"/>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2F44B5" w:rsidRPr="001A0B10" w:rsidTr="002F44B5">
        <w:tc>
          <w:tcPr>
            <w:tcW w:w="11016" w:type="dxa"/>
          </w:tcPr>
          <w:p w:rsidR="002F44B5" w:rsidRPr="001A0B10" w:rsidRDefault="002F44B5" w:rsidP="002F44B5">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r w:rsidRPr="001A0B10">
              <w:rPr>
                <w:rFonts w:ascii="Trebuchet MS" w:hAnsi="Trebuchet MS"/>
              </w:rPr>
              <w:t>Word____</w:t>
            </w:r>
            <w:r>
              <w:rPr>
                <w:rFonts w:ascii="Trebuchet MS" w:hAnsi="Trebuchet MS"/>
              </w:rPr>
              <w:t>______________________________</w:t>
            </w:r>
            <w:r w:rsidRPr="001A0B10">
              <w:rPr>
                <w:rFonts w:ascii="Trebuchet MS" w:hAnsi="Trebuchet MS"/>
              </w:rPr>
              <w:t xml:space="preserve">            Part of Speech</w:t>
            </w:r>
            <w:r>
              <w:rPr>
                <w:rFonts w:ascii="Trebuchet MS" w:hAnsi="Trebuchet MS"/>
              </w:rPr>
              <w:t xml:space="preserve"> ___________________________</w:t>
            </w: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r w:rsidRPr="001A0B10">
              <w:rPr>
                <w:rFonts w:ascii="Trebuchet MS" w:hAnsi="Trebuchet MS"/>
              </w:rPr>
              <w:t>Definition:</w:t>
            </w: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p>
        </w:tc>
      </w:tr>
    </w:tbl>
    <w:tbl>
      <w:tblPr>
        <w:tblStyle w:val="TableGrid"/>
        <w:tblpPr w:leftFromText="180" w:rightFromText="180" w:vertAnchor="text" w:horzAnchor="margin" w:tblpY="3137"/>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2F44B5" w:rsidRPr="001A0B10" w:rsidTr="002F44B5">
        <w:tc>
          <w:tcPr>
            <w:tcW w:w="11016" w:type="dxa"/>
          </w:tcPr>
          <w:p w:rsidR="002F44B5" w:rsidRPr="001A0B10" w:rsidRDefault="002F44B5" w:rsidP="002F44B5">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consider using in your image:</w:t>
            </w: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p>
          <w:p w:rsidR="002F44B5" w:rsidRPr="001A0B10" w:rsidRDefault="002F44B5" w:rsidP="002F44B5">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2F44B5"/>
    <w:rsid w:val="00405A8C"/>
    <w:rsid w:val="008529A6"/>
    <w:rsid w:val="0086766F"/>
    <w:rsid w:val="008D2A42"/>
    <w:rsid w:val="00944906"/>
    <w:rsid w:val="009C2EBE"/>
    <w:rsid w:val="00B62346"/>
    <w:rsid w:val="00FA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4</cp:revision>
  <cp:lastPrinted>2013-01-10T19:09:00Z</cp:lastPrinted>
  <dcterms:created xsi:type="dcterms:W3CDTF">2013-02-01T15:55:00Z</dcterms:created>
  <dcterms:modified xsi:type="dcterms:W3CDTF">2013-05-14T20:07:00Z</dcterms:modified>
</cp:coreProperties>
</file>